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16"/>
        <w:jc w:val="center"/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Пояснительная записка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pStyle w:val="61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</w:t>
      </w:r>
      <w:r>
        <w:rPr>
          <w:rFonts w:ascii="Times New Roman" w:hAnsi="Times New Roman"/>
          <w:sz w:val="28"/>
          <w:szCs w:val="28"/>
        </w:rPr>
        <w:t xml:space="preserve"> проекту решения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Думы </w:t>
      </w:r>
      <w:r>
        <w:rPr>
          <w:rFonts w:ascii="Times New Roman" w:hAnsi="Times New Roman"/>
          <w:sz w:val="28"/>
          <w:szCs w:val="28"/>
          <w:lang w:eastAsia="ru-RU"/>
        </w:rPr>
        <w:t xml:space="preserve">Артемовского городского округа </w:t>
      </w:r>
      <w:r>
        <w:rPr>
          <w:rFonts w:ascii="Times New Roman" w:hAnsi="Times New Roman"/>
          <w:sz w:val="28"/>
          <w:szCs w:val="28"/>
          <w:lang w:eastAsia="ru-RU"/>
        </w:rPr>
        <w:t xml:space="preserve">«</w:t>
      </w:r>
      <w:r>
        <w:rPr>
          <w:rFonts w:ascii="Times New Roman" w:hAnsi="Times New Roman"/>
          <w:sz w:val="28"/>
          <w:szCs w:val="28"/>
          <w:lang w:eastAsia="ru-RU"/>
        </w:rPr>
        <w:t xml:space="preserve">О признании утратившим силу решения Думы Артемовского городского округа от 20.02.2020 № 358 «Об утверждении порядка организации и проведения общественных обсуждений, публичных слушаний по вопросам градостроительной деятельности на территории Артемовского го</w:t>
      </w:r>
      <w:r>
        <w:rPr>
          <w:rFonts w:ascii="Times New Roman" w:hAnsi="Times New Roman"/>
          <w:sz w:val="28"/>
          <w:szCs w:val="28"/>
          <w:lang w:eastAsia="ru-RU"/>
        </w:rPr>
        <w:t xml:space="preserve">родского округа</w:t>
      </w:r>
      <w:r>
        <w:rPr>
          <w:rFonts w:ascii="Times New Roman" w:hAnsi="Times New Roman"/>
          <w:sz w:val="28"/>
          <w:szCs w:val="28"/>
          <w:lang w:eastAsia="ru-RU"/>
        </w:rPr>
        <w:t xml:space="preserve">»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616"/>
        <w:jc w:val="center"/>
        <w:rPr>
          <w:rFonts w:ascii="Times New Roman" w:hAnsi="Times New Roman"/>
          <w:sz w:val="16"/>
          <w:szCs w:val="16"/>
          <w:lang w:eastAsia="ru-RU"/>
        </w:rPr>
      </w:pPr>
      <w:r>
        <w:rPr>
          <w:rFonts w:ascii="Times New Roman" w:hAnsi="Times New Roman"/>
          <w:sz w:val="16"/>
          <w:szCs w:val="16"/>
          <w:lang w:eastAsia="ru-RU"/>
        </w:rPr>
      </w:r>
      <w:r>
        <w:rPr>
          <w:rFonts w:ascii="Times New Roman" w:hAnsi="Times New Roman"/>
          <w:sz w:val="16"/>
          <w:szCs w:val="16"/>
          <w:lang w:eastAsia="ru-RU"/>
        </w:rPr>
      </w:r>
    </w:p>
    <w:p>
      <w:pPr>
        <w:pStyle w:val="616"/>
        <w:contextualSpacing w:val="0"/>
        <w:ind w:firstLine="708"/>
        <w:jc w:val="both"/>
        <w:spacing w:after="0" w:line="360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  <w:lang w:eastAsia="ru-RU"/>
        </w:rPr>
        <w:t xml:space="preserve">В соответствии с </w:t>
      </w:r>
      <w:r>
        <w:rPr>
          <w:rFonts w:ascii="Times New Roman" w:hAnsi="Times New Roman"/>
          <w:sz w:val="28"/>
          <w:szCs w:val="28"/>
          <w:lang w:eastAsia="ru-RU"/>
        </w:rPr>
        <w:t xml:space="preserve">Законом Приморского края от 18.11.2014 № 497-КЗ «О перераспределении полномочий между органами местного самоуправления муниципальных образований Приморского края и органами государственной власти Приморского края и внесении изменений в отдельные законодател</w:t>
      </w:r>
      <w:r>
        <w:rPr>
          <w:rFonts w:ascii="Times New Roman" w:hAnsi="Times New Roman"/>
          <w:sz w:val="28"/>
          <w:szCs w:val="28"/>
          <w:lang w:eastAsia="ru-RU"/>
        </w:rPr>
        <w:t xml:space="preserve">ьные акты Приморского края» </w:t>
      </w:r>
      <w:r>
        <w:rPr>
          <w:rFonts w:ascii="Times New Roman" w:hAnsi="Times New Roman"/>
          <w:sz w:val="28"/>
          <w:szCs w:val="28"/>
          <w:lang w:eastAsia="ru-RU"/>
        </w:rPr>
        <w:t xml:space="preserve">проектом решения признаются утратившими силу следующие решения Думы Артемовского городского округа</w:t>
      </w:r>
      <w:r>
        <w:rPr>
          <w:rFonts w:ascii="Times New Roman" w:hAnsi="Times New Roman"/>
          <w:sz w:val="28"/>
          <w:szCs w:val="28"/>
          <w:lang w:eastAsia="ru-RU"/>
        </w:rPr>
        <w:t xml:space="preserve">:</w:t>
      </w:r>
      <w:r>
        <w:rPr>
          <w:rFonts w:ascii="Times New Roman" w:hAnsi="Times New Roman"/>
          <w:sz w:val="28"/>
          <w:szCs w:val="28"/>
        </w:rPr>
      </w:r>
    </w:p>
    <w:p>
      <w:pPr>
        <w:pStyle w:val="616"/>
        <w:contextualSpacing w:val="0"/>
        <w:ind w:firstLine="709"/>
        <w:jc w:val="both"/>
        <w:spacing w:after="0" w:line="360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от 20.02.2020 № 358 «Об утверждении порядка организации и проведения общественных обсуждений, публичных слушаний по вопросам градостроительной деятельности на территории Артемовского городского округа»;</w:t>
      </w:r>
      <w:r>
        <w:rPr>
          <w:rFonts w:ascii="Times New Roman" w:hAnsi="Times New Roman"/>
          <w:sz w:val="28"/>
          <w:szCs w:val="28"/>
        </w:rPr>
      </w:r>
    </w:p>
    <w:p>
      <w:pPr>
        <w:pStyle w:val="616"/>
        <w:contextualSpacing w:val="0"/>
        <w:ind w:firstLine="709"/>
        <w:jc w:val="both"/>
        <w:spacing w:after="0" w:line="360" w:lineRule="auto"/>
        <w:widowControl w:val="off"/>
        <w:suppressLineNumbers w:val="0"/>
      </w:pPr>
      <w:r>
        <w:rPr>
          <w:rFonts w:ascii="Times New Roman" w:hAnsi="Times New Roman"/>
          <w:sz w:val="28"/>
          <w:szCs w:val="28"/>
        </w:rPr>
        <w:t xml:space="preserve">от 26.11.2020 № 532 «О внесении изменений в решение Думы Артемовского городского округа от 20.02.2020 № 358 «Об утверждении Порядка организации и проведения общественных обсуждений, публичных слушаний по вопросам градостроительной деятельности на территории</w:t>
      </w:r>
      <w:r>
        <w:rPr>
          <w:rFonts w:ascii="Times New Roman" w:hAnsi="Times New Roman"/>
          <w:sz w:val="28"/>
          <w:szCs w:val="28"/>
        </w:rPr>
        <w:t xml:space="preserve"> Артемовского городского округа»;</w:t>
      </w:r>
      <w:r>
        <w:rPr>
          <w:rFonts w:ascii="Times New Roman" w:hAnsi="Times New Roman"/>
          <w:sz w:val="28"/>
          <w:szCs w:val="28"/>
        </w:rPr>
      </w:r>
    </w:p>
    <w:p>
      <w:pPr>
        <w:pStyle w:val="616"/>
        <w:contextualSpacing w:val="0"/>
        <w:ind w:firstLine="709"/>
        <w:jc w:val="both"/>
        <w:spacing w:after="0" w:line="360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от 26.08.2021 № 666 «О внесении изменений в решение Думы Артемовского городского округа от 20.02.2020 № 358 «Об утверждении Порядка организации и проведения общественных обсуждений, публичных слушаний по вопросам градостроительной деятельности на территории</w:t>
      </w:r>
      <w:r>
        <w:rPr>
          <w:rFonts w:ascii="Times New Roman" w:hAnsi="Times New Roman"/>
          <w:sz w:val="28"/>
          <w:szCs w:val="28"/>
        </w:rPr>
        <w:t xml:space="preserve"> Артемовского городского округа» (в ред. решения Думы Артемовского городского округа  от 26.11.2020 № 532)»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616"/>
        <w:contextualSpacing w:val="0"/>
        <w:ind w:firstLine="709"/>
        <w:jc w:val="both"/>
        <w:spacing w:after="0" w:line="360" w:lineRule="auto"/>
        <w:widowControl w:val="off"/>
        <w:rPr>
          <w:rFonts w:ascii="Times New Roman" w:hAnsi="Times New Roman"/>
          <w:sz w:val="28"/>
          <w:szCs w:val="28"/>
          <w:highlight w:val="none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Финансово-экономическое обоснование отсутствует ввиду того, что внесени</w:t>
      </w:r>
      <w:r>
        <w:rPr>
          <w:rFonts w:ascii="Times New Roman" w:hAnsi="Times New Roman"/>
          <w:sz w:val="28"/>
          <w:szCs w:val="28"/>
        </w:rPr>
        <w:t xml:space="preserve">е</w:t>
      </w:r>
      <w:r>
        <w:rPr>
          <w:rFonts w:ascii="Times New Roman" w:hAnsi="Times New Roman"/>
          <w:sz w:val="28"/>
          <w:szCs w:val="28"/>
        </w:rPr>
        <w:t xml:space="preserve"> изменений в финансовую часть решения не вносились.</w:t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contextualSpacing w:val="0"/>
        <w:ind w:firstLine="709"/>
        <w:jc w:val="both"/>
        <w:spacing w:after="0" w:line="360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_1388"/>
        <w:ind w:firstLine="0"/>
        <w:spacing w:line="240" w:lineRule="auto"/>
        <w:tabs>
          <w:tab w:val="left" w:pos="567" w:leader="none"/>
        </w:tabs>
        <w:rPr>
          <w:highlight w:val="none"/>
        </w:rPr>
      </w:pPr>
      <w:r>
        <w:rPr>
          <w:sz w:val="28"/>
          <w:szCs w:val="28"/>
        </w:rPr>
      </w:r>
      <w:r>
        <w:rPr>
          <w:sz w:val="28"/>
          <w:szCs w:val="28"/>
        </w:rPr>
        <w:t xml:space="preserve">Начальник управления</w:t>
      </w:r>
      <w:r>
        <w:rPr>
          <w:sz w:val="28"/>
          <w:szCs w:val="28"/>
        </w:rPr>
        <w:tab/>
        <w:tab/>
        <w:tab/>
        <w:tab/>
        <w:tab/>
        <w:tab/>
        <w:tab/>
        <w:t xml:space="preserve">           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1_1388"/>
        <w:ind w:firstLine="0"/>
        <w:spacing w:line="240" w:lineRule="auto"/>
        <w:tabs>
          <w:tab w:val="left" w:pos="567" w:leader="none"/>
        </w:tabs>
        <w:rPr>
          <w:highlight w:val="none"/>
        </w:rPr>
      </w:pPr>
      <w:r>
        <w:rPr>
          <w:sz w:val="28"/>
          <w:szCs w:val="28"/>
          <w:highlight w:val="none"/>
        </w:rPr>
        <w:t xml:space="preserve">архитектуры и градостроительства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1_1388"/>
        <w:ind w:firstLine="0"/>
        <w:spacing w:line="240" w:lineRule="auto"/>
        <w:tabs>
          <w:tab w:val="left" w:pos="567" w:leader="none"/>
        </w:tabs>
        <w:rPr>
          <w:highlight w:val="none"/>
        </w:rPr>
      </w:pPr>
      <w:r>
        <w:rPr>
          <w:sz w:val="28"/>
          <w:szCs w:val="28"/>
          <w:highlight w:val="none"/>
        </w:rPr>
        <w:t xml:space="preserve">администрации Артемовского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1_1388"/>
        <w:ind w:firstLine="0"/>
        <w:spacing w:line="240" w:lineRule="auto"/>
        <w:tabs>
          <w:tab w:val="left" w:pos="567" w:leader="none"/>
        </w:tabs>
        <w:rPr>
          <w:sz w:val="24"/>
          <w:szCs w:val="24"/>
        </w:rPr>
      </w:pPr>
      <w:r>
        <w:rPr>
          <w:sz w:val="28"/>
          <w:szCs w:val="28"/>
          <w:highlight w:val="none"/>
        </w:rPr>
        <w:t xml:space="preserve">городского округа                                                                           </w:t>
      </w:r>
      <w:r>
        <w:rPr>
          <w:sz w:val="28"/>
          <w:szCs w:val="28"/>
        </w:rPr>
        <w:t xml:space="preserve">О.А. Моисеева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contextualSpacing w:val="0"/>
        <w:ind w:left="0" w:right="0" w:firstLine="0"/>
        <w:jc w:val="both"/>
        <w:spacing w:after="0" w:line="360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616"/>
        <w:ind w:firstLine="0"/>
        <w:jc w:val="both"/>
        <w:spacing w:after="0" w:line="360" w:lineRule="auto"/>
        <w:rPr>
          <w:rFonts w:ascii="Times New Roman" w:hAnsi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Исп. Кулемесина Я.Е.</w:t>
      </w:r>
      <w:r>
        <w:rPr>
          <w:rFonts w:ascii="Times New Roman" w:hAnsi="Times New Roman"/>
          <w:sz w:val="24"/>
          <w:szCs w:val="24"/>
          <w:lang w:eastAsia="ru-RU"/>
        </w:rPr>
      </w:r>
      <w:r>
        <w:rPr>
          <w:rFonts w:ascii="Times New Roman" w:hAnsi="Times New Roman"/>
          <w:sz w:val="24"/>
          <w:szCs w:val="24"/>
          <w:lang w:eastAsia="ru-RU"/>
        </w:rPr>
      </w:r>
      <w:r>
        <w:rPr>
          <w:rFonts w:ascii="Times New Roman" w:hAnsi="Times New Roman"/>
          <w:sz w:val="24"/>
          <w:szCs w:val="24"/>
          <w:lang w:eastAsia="ru-RU"/>
        </w:rPr>
      </w:r>
    </w:p>
    <w:p>
      <w:pPr>
        <w:ind w:firstLine="0"/>
        <w:jc w:val="both"/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highlight w:val="none"/>
          <w:lang w:eastAsia="ru-RU"/>
        </w:rPr>
        <w:t xml:space="preserve">3-19-41</w:t>
      </w:r>
      <w:r>
        <w:rPr>
          <w:rFonts w:ascii="Times New Roman" w:hAnsi="Times New Roman"/>
          <w:sz w:val="24"/>
          <w:szCs w:val="24"/>
          <w:highlight w:val="none"/>
          <w:lang w:eastAsia="ru-RU"/>
        </w:rPr>
      </w:r>
    </w:p>
    <w:sectPr>
      <w:footnotePr/>
      <w:endnotePr/>
      <w:type w:val="nextPage"/>
      <w:pgSz w:w="11906" w:h="16838" w:orient="portrait"/>
      <w:pgMar w:top="1134" w:right="851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6"/>
    <w:next w:val="616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6"/>
    <w:next w:val="616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6"/>
    <w:next w:val="616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6"/>
    <w:next w:val="616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6"/>
    <w:next w:val="616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6"/>
    <w:next w:val="616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6"/>
    <w:next w:val="616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6"/>
    <w:next w:val="616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6"/>
    <w:next w:val="616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6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6"/>
    <w:next w:val="616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16"/>
    <w:next w:val="616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16"/>
    <w:next w:val="616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6"/>
    <w:next w:val="616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6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16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16"/>
    <w:next w:val="616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11"/>
    <w:link w:val="46"/>
    <w:uiPriority w:val="35"/>
    <w:rPr>
      <w:b/>
      <w:bCs/>
      <w:color w:val="4f81bd" w:themeColor="accent1"/>
      <w:sz w:val="18"/>
      <w:szCs w:val="18"/>
    </w:rPr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6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16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16"/>
    <w:next w:val="616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6"/>
    <w:next w:val="616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6"/>
    <w:next w:val="616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6"/>
    <w:next w:val="616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6"/>
    <w:next w:val="616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6"/>
    <w:next w:val="616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6"/>
    <w:next w:val="616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6"/>
    <w:next w:val="616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6"/>
    <w:next w:val="616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6"/>
    <w:next w:val="616"/>
    <w:uiPriority w:val="99"/>
    <w:unhideWhenUsed/>
    <w:pPr>
      <w:spacing w:after="0" w:afterAutospacing="0"/>
    </w:pPr>
  </w:style>
  <w:style w:type="paragraph" w:styleId="616" w:default="1">
    <w:name w:val="Normal"/>
    <w:next w:val="616"/>
    <w:link w:val="616"/>
    <w:qFormat/>
    <w:pPr>
      <w:spacing w:after="200" w:line="276" w:lineRule="auto"/>
    </w:pPr>
    <w:rPr>
      <w:sz w:val="22"/>
      <w:szCs w:val="22"/>
      <w:lang w:val="ru-RU" w:eastAsia="en-US" w:bidi="ar-SA"/>
    </w:rPr>
  </w:style>
  <w:style w:type="character" w:styleId="617">
    <w:name w:val="Основной шрифт абзаца"/>
    <w:next w:val="617"/>
    <w:link w:val="616"/>
    <w:uiPriority w:val="1"/>
    <w:semiHidden/>
    <w:unhideWhenUsed/>
  </w:style>
  <w:style w:type="table" w:styleId="618">
    <w:name w:val="Обычная таблица"/>
    <w:next w:val="618"/>
    <w:link w:val="616"/>
    <w:uiPriority w:val="99"/>
    <w:semiHidden/>
    <w:unhideWhenUsed/>
    <w:qFormat/>
    <w:tblPr/>
  </w:style>
  <w:style w:type="numbering" w:styleId="619">
    <w:name w:val="Нет списка"/>
    <w:next w:val="619"/>
    <w:link w:val="616"/>
    <w:uiPriority w:val="99"/>
    <w:semiHidden/>
    <w:unhideWhenUsed/>
  </w:style>
  <w:style w:type="paragraph" w:styleId="620">
    <w:name w:val="Обычный (веб)"/>
    <w:basedOn w:val="616"/>
    <w:next w:val="620"/>
    <w:link w:val="616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21">
    <w:name w:val="consplusnormal"/>
    <w:basedOn w:val="616"/>
    <w:next w:val="621"/>
    <w:link w:val="61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22">
    <w:name w:val="Текст выноски"/>
    <w:basedOn w:val="616"/>
    <w:next w:val="622"/>
    <w:link w:val="623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623">
    <w:name w:val="Текст выноски Знак"/>
    <w:next w:val="623"/>
    <w:link w:val="622"/>
    <w:uiPriority w:val="99"/>
    <w:semiHidden/>
    <w:rPr>
      <w:rFonts w:ascii="Segoe UI" w:hAnsi="Segoe UI" w:cs="Segoe UI"/>
      <w:sz w:val="18"/>
      <w:szCs w:val="18"/>
      <w:lang w:eastAsia="en-US"/>
    </w:rPr>
  </w:style>
  <w:style w:type="paragraph" w:styleId="624">
    <w:name w:val="docdata,docy,v5,4121,bqiaagaaeyqcaaagiaiaaantdwaabwepaaaaaaaaaaaaaaaaaaaaaaaaaaaaaaaaaaaaaaaaaaaaaaaaaaaaaaaaaaaaaaaaaaaaaaaaaaaaaaaaaaaaaaaaaaaaaaaaaaaaaaaaaaaaaaaaaaaaaaaaaaaaaaaaaaaaaaaaaaaaaaaaaaaaaaaaaaaaaaaaaaaaaaaaaaaaaaaaaaaaaaaaaaaaaaaaaaaaaaaa"/>
    <w:basedOn w:val="616"/>
    <w:next w:val="624"/>
    <w:link w:val="616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713" w:default="1">
    <w:name w:val="Default Paragraph Font"/>
    <w:uiPriority w:val="1"/>
    <w:semiHidden/>
    <w:unhideWhenUsed/>
  </w:style>
  <w:style w:type="numbering" w:styleId="714" w:default="1">
    <w:name w:val="No List"/>
    <w:uiPriority w:val="99"/>
    <w:semiHidden/>
    <w:unhideWhenUsed/>
  </w:style>
  <w:style w:type="table" w:styleId="715" w:default="1">
    <w:name w:val="Normal Table"/>
    <w:uiPriority w:val="99"/>
    <w:semiHidden/>
    <w:unhideWhenUsed/>
    <w:tblPr/>
  </w:style>
  <w:style w:type="paragraph" w:styleId="1_1388" w:customStyle="1">
    <w:name w:val="Body Text Indent 2"/>
    <w:basedOn w:val="827"/>
    <w:link w:val="842"/>
    <w:pPr>
      <w:contextualSpacing w:val="0"/>
      <w:ind w:left="0" w:right="0" w:firstLine="540"/>
      <w:jc w:val="both"/>
      <w:keepLines w:val="0"/>
      <w:keepNext w:val="0"/>
      <w:pageBreakBefore w:val="0"/>
      <w:spacing w:before="0" w:beforeAutospacing="0" w:after="0" w:afterAutospacing="0" w:line="36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>AGO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Loginov</dc:creator>
  <cp:lastModifiedBy>kulemesina</cp:lastModifiedBy>
  <cp:revision>21</cp:revision>
  <dcterms:created xsi:type="dcterms:W3CDTF">2024-10-15T06:02:00Z</dcterms:created>
  <dcterms:modified xsi:type="dcterms:W3CDTF">2026-01-26T02:47:28Z</dcterms:modified>
  <cp:version>983040</cp:version>
</cp:coreProperties>
</file>